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b/>
          <w:sz w:val="24"/>
          <w:szCs w:val="24"/>
        </w:rPr>
      </w:pPr>
      <w:r w:rsidRPr="00AB7B13">
        <w:rPr>
          <w:rStyle w:val="markedcontent"/>
          <w:rFonts w:ascii="Calibri" w:hAnsi="Calibri" w:cs="Calibri"/>
          <w:b/>
          <w:sz w:val="24"/>
          <w:szCs w:val="24"/>
        </w:rPr>
        <w:t>ZARZADZENIE NR  340/23</w:t>
      </w:r>
    </w:p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b/>
          <w:sz w:val="24"/>
          <w:szCs w:val="24"/>
        </w:rPr>
      </w:pPr>
      <w:r w:rsidRPr="00AB7B13">
        <w:rPr>
          <w:rStyle w:val="markedcontent"/>
          <w:rFonts w:ascii="Calibri" w:hAnsi="Calibri" w:cs="Calibri"/>
          <w:b/>
          <w:sz w:val="24"/>
          <w:szCs w:val="24"/>
        </w:rPr>
        <w:t>WÓJTA GMINY BRUDZEN DUŻY</w:t>
      </w:r>
    </w:p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z dnia 28.03.2023r.</w:t>
      </w:r>
    </w:p>
    <w:p w:rsidR="008B266C" w:rsidRPr="00AB7B13" w:rsidRDefault="008B266C" w:rsidP="008B266C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Style w:val="markedcontent"/>
          <w:rFonts w:ascii="Calibri" w:hAnsi="Calibri" w:cs="Calibri"/>
          <w:b/>
          <w:sz w:val="24"/>
          <w:szCs w:val="24"/>
        </w:rPr>
      </w:pPr>
      <w:r w:rsidRPr="00AB7B13">
        <w:rPr>
          <w:rStyle w:val="markedcontent"/>
          <w:rFonts w:ascii="Calibri" w:hAnsi="Calibri" w:cs="Calibri"/>
          <w:b/>
          <w:sz w:val="24"/>
          <w:szCs w:val="24"/>
        </w:rPr>
        <w:t>w sprawie ustalenia wysokości stawki bazowej czynszu za 1 m</w:t>
      </w:r>
      <w:r w:rsidRPr="00AB7B13">
        <w:rPr>
          <w:rStyle w:val="markedcontent"/>
          <w:rFonts w:ascii="Calibri" w:hAnsi="Calibri" w:cs="Calibri"/>
          <w:b/>
          <w:sz w:val="24"/>
          <w:szCs w:val="24"/>
          <w:vertAlign w:val="superscript"/>
        </w:rPr>
        <w:t>2</w:t>
      </w:r>
      <w:r w:rsidRPr="00AB7B13">
        <w:rPr>
          <w:rStyle w:val="markedcontent"/>
          <w:rFonts w:ascii="Calibri" w:hAnsi="Calibri" w:cs="Calibri"/>
          <w:b/>
          <w:sz w:val="24"/>
          <w:szCs w:val="24"/>
        </w:rPr>
        <w:t xml:space="preserve"> powierzchni użytkowej lokali mieszkalnych wchodzących w skład mieszkaniowego zasobu Gminy Brudzeń Duży.</w:t>
      </w:r>
    </w:p>
    <w:p w:rsidR="008B266C" w:rsidRPr="00AB7B13" w:rsidRDefault="008B266C" w:rsidP="008B266C">
      <w:pPr>
        <w:spacing w:after="0"/>
        <w:ind w:firstLine="708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Na podstawie art. 30 ust. 1 i ust. 2 pkt 3 ustawy z dnia 8 marca 1990r. o samorządzie gminnym (</w:t>
      </w:r>
      <w:proofErr w:type="spellStart"/>
      <w:r w:rsidRPr="00AB7B13">
        <w:rPr>
          <w:rStyle w:val="markedcontent"/>
          <w:rFonts w:ascii="Calibri" w:hAnsi="Calibri" w:cs="Calibri"/>
          <w:sz w:val="24"/>
          <w:szCs w:val="24"/>
        </w:rPr>
        <w:t>t.j</w:t>
      </w:r>
      <w:proofErr w:type="spellEnd"/>
      <w:r w:rsidRPr="00AB7B13">
        <w:rPr>
          <w:rStyle w:val="markedcontent"/>
          <w:rFonts w:ascii="Calibri" w:hAnsi="Calibri" w:cs="Calibri"/>
          <w:sz w:val="24"/>
          <w:szCs w:val="24"/>
        </w:rPr>
        <w:t>.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Dz. U. z 2023 poz. 40.), art. 8 pkt 1 ustawy o ochronie praw lokatorów, mieszkaniowym zasobie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gminy i o zmianie Kodeksu cywilnego (</w:t>
      </w:r>
      <w:proofErr w:type="spellStart"/>
      <w:r w:rsidRPr="00AB7B13">
        <w:rPr>
          <w:rStyle w:val="markedcontent"/>
          <w:rFonts w:ascii="Calibri" w:hAnsi="Calibri" w:cs="Calibri"/>
          <w:sz w:val="24"/>
          <w:szCs w:val="24"/>
        </w:rPr>
        <w:t>t.j</w:t>
      </w:r>
      <w:proofErr w:type="spellEnd"/>
      <w:r w:rsidRPr="00AB7B13">
        <w:rPr>
          <w:rStyle w:val="markedcontent"/>
          <w:rFonts w:ascii="Calibri" w:hAnsi="Calibri" w:cs="Calibri"/>
          <w:sz w:val="24"/>
          <w:szCs w:val="24"/>
        </w:rPr>
        <w:t xml:space="preserve">. Dz. U. z 2022 poz. 172 z </w:t>
      </w:r>
      <w:proofErr w:type="spellStart"/>
      <w:r w:rsidRPr="00AB7B13">
        <w:rPr>
          <w:rStyle w:val="markedcontent"/>
          <w:rFonts w:ascii="Calibri" w:hAnsi="Calibri" w:cs="Calibri"/>
          <w:sz w:val="24"/>
          <w:szCs w:val="24"/>
        </w:rPr>
        <w:t>późn</w:t>
      </w:r>
      <w:proofErr w:type="spellEnd"/>
      <w:r w:rsidRPr="00AB7B13">
        <w:rPr>
          <w:rStyle w:val="markedcontent"/>
          <w:rFonts w:ascii="Calibri" w:hAnsi="Calibri" w:cs="Calibri"/>
          <w:sz w:val="24"/>
          <w:szCs w:val="24"/>
        </w:rPr>
        <w:t>. zm.) oraz stosownie do § 13 uchwały nr XXXVI/268/22 Rady Gminy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Brudzeń Duży z dnia 29 marca 2022r. w sprawie przyjęcia ,,Wieloletniego programu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="00AB7B13">
        <w:rPr>
          <w:rStyle w:val="markedcontent"/>
          <w:rFonts w:ascii="Calibri" w:hAnsi="Calibri" w:cs="Calibri"/>
          <w:sz w:val="24"/>
          <w:szCs w:val="24"/>
        </w:rPr>
        <w:t xml:space="preserve">gospodarowania </w:t>
      </w:r>
      <w:bookmarkStart w:id="0" w:name="_GoBack"/>
      <w:bookmarkEnd w:id="0"/>
      <w:r w:rsidRPr="00AB7B13">
        <w:rPr>
          <w:rStyle w:val="markedcontent"/>
          <w:rFonts w:ascii="Calibri" w:hAnsi="Calibri" w:cs="Calibri"/>
          <w:sz w:val="24"/>
          <w:szCs w:val="24"/>
        </w:rPr>
        <w:t xml:space="preserve">mieszkaniowym zasobem gminy Brudzeń Duży na lata 2022-2026” (Dz. Urz. Woj. </w:t>
      </w:r>
      <w:proofErr w:type="spellStart"/>
      <w:r w:rsidRPr="00AB7B13">
        <w:rPr>
          <w:rStyle w:val="markedcontent"/>
          <w:rFonts w:ascii="Calibri" w:hAnsi="Calibri" w:cs="Calibri"/>
          <w:sz w:val="24"/>
          <w:szCs w:val="24"/>
        </w:rPr>
        <w:t>Maz</w:t>
      </w:r>
      <w:proofErr w:type="spellEnd"/>
      <w:r w:rsidRPr="00AB7B13">
        <w:rPr>
          <w:rStyle w:val="markedcontent"/>
          <w:rFonts w:ascii="Calibri" w:hAnsi="Calibri" w:cs="Calibri"/>
          <w:sz w:val="24"/>
          <w:szCs w:val="24"/>
        </w:rPr>
        <w:t>.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z 2022 r. poz. 5071)</w:t>
      </w:r>
    </w:p>
    <w:p w:rsidR="008B266C" w:rsidRPr="00AB7B13" w:rsidRDefault="008B266C" w:rsidP="008B266C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- zarządzam, co następuje:</w:t>
      </w:r>
      <w:r w:rsidRPr="00AB7B13">
        <w:rPr>
          <w:rFonts w:ascii="Calibri" w:hAnsi="Calibri" w:cs="Calibri"/>
          <w:sz w:val="24"/>
          <w:szCs w:val="24"/>
        </w:rPr>
        <w:t xml:space="preserve"> </w:t>
      </w:r>
    </w:p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§ 1.</w:t>
      </w:r>
    </w:p>
    <w:p w:rsidR="008B266C" w:rsidRPr="00AB7B13" w:rsidRDefault="008B266C" w:rsidP="008B266C">
      <w:pPr>
        <w:spacing w:after="0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1. Ustalam stawkę podstawową (bazową) czynszu za 1 m</w:t>
      </w:r>
      <w:r w:rsidRPr="00AB7B13">
        <w:rPr>
          <w:rStyle w:val="markedcontent"/>
          <w:rFonts w:ascii="Calibri" w:hAnsi="Calibri" w:cs="Calibri"/>
          <w:sz w:val="24"/>
          <w:szCs w:val="24"/>
          <w:vertAlign w:val="superscript"/>
        </w:rPr>
        <w:t>2</w:t>
      </w:r>
      <w:r w:rsidRPr="00AB7B13">
        <w:rPr>
          <w:rStyle w:val="markedcontent"/>
          <w:rFonts w:ascii="Calibri" w:hAnsi="Calibri" w:cs="Calibri"/>
          <w:sz w:val="24"/>
          <w:szCs w:val="24"/>
        </w:rPr>
        <w:t xml:space="preserve"> powierzchni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użytkowej w lokalach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mieszkalnych stanowiących mieszkaniowy zasób Gminy Brudzeń Duży w wysokości 1,36 zł (słownie: jeden złoty 36/100).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2. Wprowadza się czynniki różnicujące stawki czynszu określonego w pkt 1 stanowiące załącznik do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niniejszego zarządzenia</w:t>
      </w:r>
      <w:r w:rsidRPr="00AB7B13">
        <w:rPr>
          <w:rFonts w:ascii="Calibri" w:hAnsi="Calibri" w:cs="Calibri"/>
          <w:sz w:val="24"/>
          <w:szCs w:val="24"/>
        </w:rPr>
        <w:t>.</w:t>
      </w:r>
    </w:p>
    <w:p w:rsidR="008B266C" w:rsidRPr="00AB7B13" w:rsidRDefault="008B266C" w:rsidP="008B266C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§ 2.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Ustalam stawkę bazową czynszu za 1 m</w:t>
      </w:r>
      <w:r w:rsidRPr="00AB7B13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AB7B13">
        <w:rPr>
          <w:rFonts w:ascii="Calibri" w:hAnsi="Calibri" w:cs="Calibri"/>
          <w:sz w:val="24"/>
          <w:szCs w:val="24"/>
        </w:rPr>
        <w:t>powierzchni użytkowej, w przypadku najmu lokalu socjalnego wchodzące w skład mieszkaniowego zasobu Gminy Brudzeń Duży w wysokości połowy stawki bazowej tj. 0,68 groszy ( słownie: sześćdziesiąt osiem groszy).</w:t>
      </w:r>
    </w:p>
    <w:p w:rsidR="008B266C" w:rsidRPr="00AB7B13" w:rsidRDefault="008B266C" w:rsidP="008B266C">
      <w:pPr>
        <w:spacing w:after="0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spacing w:after="0"/>
        <w:ind w:left="3540" w:firstLine="708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§ 3.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Zmiana wysokości czynszu nastąpi w drodze wypowiedzenia dotychczasowej stawki czynszu, które zostanie doręczone najemcom na trzy miesiące przed terminem wprowadzenia zmiany.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§ 4.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W przypadku bezumownego korzystania z lokalu stanowiącego własność Gminy Brudzeń Duży stawka odszkodowania wynosi 100% bazowej stawki czynszu z uwzględnieniem czynników podwyższających lub obniżających określonej w niniejszym zarządzeniu.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§ 5.</w:t>
      </w:r>
    </w:p>
    <w:p w:rsidR="008B266C" w:rsidRPr="00AB7B13" w:rsidRDefault="008B266C" w:rsidP="008B266C">
      <w:pPr>
        <w:spacing w:after="0"/>
        <w:rPr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 xml:space="preserve"> Z dniem 30 czerwca 2023r. traci moc Zarządzenie Nr 107/12 Wójta Gminy Brudzeń Duży z dnia 05 stycznia 2012r.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w sprawie podwyżek stawek czynszu za lokale mieszkalne wchodzące w skład mieszkaniowego zasobu</w:t>
      </w:r>
      <w:r w:rsidRPr="00AB7B13">
        <w:rPr>
          <w:rFonts w:ascii="Calibri" w:hAnsi="Calibri" w:cs="Calibri"/>
          <w:sz w:val="24"/>
          <w:szCs w:val="24"/>
        </w:rPr>
        <w:t xml:space="preserve"> </w:t>
      </w:r>
      <w:r w:rsidRPr="00AB7B13">
        <w:rPr>
          <w:rStyle w:val="markedcontent"/>
          <w:rFonts w:ascii="Calibri" w:hAnsi="Calibri" w:cs="Calibri"/>
          <w:sz w:val="24"/>
          <w:szCs w:val="24"/>
        </w:rPr>
        <w:t>Gminy Brudzeń Duży.</w:t>
      </w:r>
    </w:p>
    <w:p w:rsidR="008B266C" w:rsidRPr="00AB7B13" w:rsidRDefault="008B266C" w:rsidP="008B266C">
      <w:pPr>
        <w:spacing w:after="0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§ 6.</w:t>
      </w:r>
    </w:p>
    <w:p w:rsidR="008B266C" w:rsidRPr="00AB7B13" w:rsidRDefault="008B266C" w:rsidP="008B266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B7B13">
        <w:rPr>
          <w:rStyle w:val="markedcontent"/>
          <w:rFonts w:ascii="Calibri" w:hAnsi="Calibri" w:cs="Calibri"/>
          <w:sz w:val="24"/>
          <w:szCs w:val="24"/>
        </w:rPr>
        <w:t>Zarządzenie wchodzi w życie z dniem podpisania, z mocą obowiązującą od 01.07.2023r.</w:t>
      </w:r>
    </w:p>
    <w:p w:rsidR="00AB7B13" w:rsidRDefault="00AB7B13" w:rsidP="00AB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66C" w:rsidRPr="00AB7B13" w:rsidRDefault="008B266C" w:rsidP="00AB7B13">
      <w:pPr>
        <w:spacing w:after="0"/>
        <w:ind w:left="7080" w:firstLine="708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lastRenderedPageBreak/>
        <w:t xml:space="preserve">    Załącznik </w:t>
      </w:r>
    </w:p>
    <w:p w:rsidR="008B266C" w:rsidRPr="00AB7B13" w:rsidRDefault="008B266C" w:rsidP="008B266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do  Zarządzenia Nr 340/23</w:t>
      </w:r>
    </w:p>
    <w:p w:rsidR="008B266C" w:rsidRPr="00AB7B13" w:rsidRDefault="008B266C" w:rsidP="008B266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 xml:space="preserve">Wójta Gminy Brudzeń Duży </w:t>
      </w:r>
    </w:p>
    <w:p w:rsidR="008B266C" w:rsidRPr="00AB7B13" w:rsidRDefault="008B266C" w:rsidP="008B266C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z dnia 28.03.2023r.</w:t>
      </w:r>
    </w:p>
    <w:p w:rsidR="008B266C" w:rsidRPr="00AB7B13" w:rsidRDefault="008B266C" w:rsidP="008B266C">
      <w:pPr>
        <w:jc w:val="both"/>
        <w:rPr>
          <w:rFonts w:ascii="Calibri" w:hAnsi="Calibri" w:cs="Calibri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</w:rPr>
      </w:pPr>
    </w:p>
    <w:p w:rsidR="008B266C" w:rsidRPr="00AB7B13" w:rsidRDefault="008B266C" w:rsidP="008B266C">
      <w:pPr>
        <w:ind w:left="-284"/>
        <w:jc w:val="center"/>
        <w:rPr>
          <w:rFonts w:ascii="Calibri" w:hAnsi="Calibri" w:cs="Calibri"/>
          <w:b/>
          <w:sz w:val="24"/>
          <w:szCs w:val="24"/>
        </w:rPr>
      </w:pPr>
      <w:r w:rsidRPr="00AB7B13">
        <w:rPr>
          <w:rFonts w:ascii="Calibri" w:hAnsi="Calibri" w:cs="Calibri"/>
          <w:b/>
          <w:sz w:val="24"/>
          <w:szCs w:val="24"/>
        </w:rPr>
        <w:t>Czynniki zróżnicowania stawek czynszu za 1 m</w:t>
      </w:r>
      <w:r w:rsidRPr="00AB7B13">
        <w:rPr>
          <w:rFonts w:ascii="Calibri" w:hAnsi="Calibri" w:cs="Calibri"/>
          <w:b/>
          <w:sz w:val="24"/>
          <w:szCs w:val="24"/>
          <w:vertAlign w:val="superscript"/>
        </w:rPr>
        <w:t>2</w:t>
      </w:r>
      <w:r w:rsidRPr="00AB7B13">
        <w:rPr>
          <w:rFonts w:ascii="Calibri" w:hAnsi="Calibri" w:cs="Calibri"/>
          <w:b/>
          <w:sz w:val="24"/>
          <w:szCs w:val="24"/>
        </w:rPr>
        <w:t xml:space="preserve"> powierzchni użytkowej lokali mieszkalnych.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5245"/>
        <w:gridCol w:w="3402"/>
      </w:tblGrid>
      <w:tr w:rsidR="008B266C" w:rsidRPr="00AB7B13" w:rsidTr="00285230">
        <w:trPr>
          <w:trHeight w:val="734"/>
        </w:trPr>
        <w:tc>
          <w:tcPr>
            <w:tcW w:w="67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Wyposażenie lokalu</w:t>
            </w:r>
          </w:p>
        </w:tc>
        <w:tc>
          <w:tcPr>
            <w:tcW w:w="3402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 xml:space="preserve">Stawka bazowa z uwzględnieniem </w:t>
            </w: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czynników podwyższający (zł)</w:t>
            </w:r>
          </w:p>
        </w:tc>
      </w:tr>
      <w:tr w:rsidR="008B266C" w:rsidRPr="00AB7B13" w:rsidTr="00285230">
        <w:trPr>
          <w:trHeight w:val="463"/>
        </w:trPr>
        <w:tc>
          <w:tcPr>
            <w:tcW w:w="67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Instalacja elektryczna</w:t>
            </w:r>
          </w:p>
        </w:tc>
        <w:tc>
          <w:tcPr>
            <w:tcW w:w="3402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1,36</w:t>
            </w:r>
          </w:p>
        </w:tc>
      </w:tr>
      <w:tr w:rsidR="008B266C" w:rsidRPr="00AB7B13" w:rsidTr="00285230">
        <w:trPr>
          <w:trHeight w:val="556"/>
        </w:trPr>
        <w:tc>
          <w:tcPr>
            <w:tcW w:w="67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Instalacja elektryczna, woda</w:t>
            </w:r>
          </w:p>
        </w:tc>
        <w:tc>
          <w:tcPr>
            <w:tcW w:w="3402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1,77</w:t>
            </w:r>
          </w:p>
        </w:tc>
      </w:tr>
      <w:tr w:rsidR="008B266C" w:rsidRPr="00AB7B13" w:rsidTr="00285230">
        <w:tc>
          <w:tcPr>
            <w:tcW w:w="67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Instalacja elektryczna, wodno-kanalizacyjna, centralne ogrzewanie, ciepła woda – w budynkach wielorodzinnych</w:t>
            </w:r>
          </w:p>
        </w:tc>
        <w:tc>
          <w:tcPr>
            <w:tcW w:w="3402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2,27</w:t>
            </w:r>
          </w:p>
        </w:tc>
      </w:tr>
      <w:tr w:rsidR="008B266C" w:rsidRPr="00AB7B13" w:rsidTr="00285230">
        <w:tc>
          <w:tcPr>
            <w:tcW w:w="67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B266C" w:rsidRPr="00AB7B13" w:rsidRDefault="008B266C" w:rsidP="0028523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B7B13">
              <w:rPr>
                <w:rFonts w:ascii="Calibri" w:hAnsi="Calibri" w:cs="Calibri"/>
                <w:sz w:val="24"/>
                <w:szCs w:val="24"/>
              </w:rPr>
              <w:t>Instalacja elektryczna, wodno-kanalizacyjna, centralne ogrzewanie, ciepła woda – w budynkach jednorodzinny</w:t>
            </w:r>
          </w:p>
        </w:tc>
        <w:tc>
          <w:tcPr>
            <w:tcW w:w="3402" w:type="dxa"/>
          </w:tcPr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266C" w:rsidRPr="00AB7B13" w:rsidRDefault="008B266C" w:rsidP="002852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B7B13">
              <w:rPr>
                <w:rFonts w:ascii="Calibri" w:hAnsi="Calibri" w:cs="Calibri"/>
                <w:b/>
                <w:sz w:val="24"/>
                <w:szCs w:val="24"/>
              </w:rPr>
              <w:t>4,00</w:t>
            </w:r>
          </w:p>
        </w:tc>
      </w:tr>
    </w:tbl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Default="008B266C" w:rsidP="008B2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b/>
          <w:sz w:val="24"/>
          <w:szCs w:val="24"/>
          <w:u w:val="single"/>
        </w:rPr>
        <w:lastRenderedPageBreak/>
        <w:t>Uzasadnienie:</w:t>
      </w:r>
      <w:r w:rsidRPr="00AB7B13">
        <w:rPr>
          <w:rFonts w:ascii="Calibri" w:hAnsi="Calibri" w:cs="Calibri"/>
          <w:sz w:val="24"/>
          <w:szCs w:val="24"/>
        </w:rPr>
        <w:br/>
      </w:r>
    </w:p>
    <w:p w:rsidR="008B266C" w:rsidRPr="00AB7B13" w:rsidRDefault="008B266C" w:rsidP="008B266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Zgodnie z aktualnie obowiązującym wieloletnim programem gospodarowania mieszkaniowym zasobem Gminy Brudzeń Duży na lata 2022-2026 ( uchwała Nr XXXVI/268/22 Rady Gminy Brudzeń Duży z dnia 29 marca 2022r.)  oraz ciągłym nieprzerwanym wzrostem kosztów utrzymania mieszkaniowego zasobu gminy Brudzeń Duży zasadne jest ustalenie nowej stawki bazowej  dla mieszkań komunalny</w:t>
      </w:r>
      <w:r w:rsidR="00AB7B13">
        <w:rPr>
          <w:rFonts w:ascii="Calibri" w:hAnsi="Calibri" w:cs="Calibri"/>
          <w:sz w:val="24"/>
          <w:szCs w:val="24"/>
        </w:rPr>
        <w:t xml:space="preserve">ch. Obecna stawka bazowa </w:t>
      </w:r>
      <w:r w:rsidRPr="00AB7B13">
        <w:rPr>
          <w:rFonts w:ascii="Calibri" w:hAnsi="Calibri" w:cs="Calibri"/>
          <w:sz w:val="24"/>
          <w:szCs w:val="24"/>
        </w:rPr>
        <w:t>czynszu nie pokrywa niezbędnych wydatków wiążących się z utrzymaniem zasobu mieszkaniowego.</w:t>
      </w:r>
    </w:p>
    <w:p w:rsidR="008B266C" w:rsidRPr="00AB7B13" w:rsidRDefault="008B266C" w:rsidP="008B266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 xml:space="preserve">Ustalona stawka czynszu nie przekracza 3% wartości odtworzeniowej lokalu dla województwa mazowieckiego oraz podlega zróżnicowaniu, uwzględniając czynniki podwyższające do stawki bazowej wartości użytkowej lokali mieszkalnych. </w:t>
      </w: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  <w:r w:rsidRPr="00AB7B13">
        <w:rPr>
          <w:rFonts w:ascii="Calibri" w:hAnsi="Calibri" w:cs="Calibri"/>
          <w:sz w:val="24"/>
          <w:szCs w:val="24"/>
        </w:rPr>
        <w:t>W związku z powyższym ustalając wysokość podwyżki czynszu uwzględniono konieczność utrzymania zasobu mieszkaniowego we właściwym stanie technicznym przy jednoczesnym zapewnieniu środków na remonty i modernizację zasobu. Podniesienie stawki bazowej czynszu wynika, zatem wprost z zasad racjonalnego gospodarowania zasobem.</w:t>
      </w:r>
      <w:r w:rsidRPr="00AB7B13">
        <w:rPr>
          <w:rFonts w:ascii="Calibri" w:hAnsi="Calibri" w:cs="Calibri"/>
          <w:sz w:val="24"/>
          <w:szCs w:val="24"/>
        </w:rPr>
        <w:br/>
        <w:t xml:space="preserve">            Biorąc powyższe pod uwagę, podwyżka opłat za lokale mieszkalne, ze skutkiem od 01.07.2023r., po uprzednim 3-miesięcznym terminie wypowiedzenia dotychczasowych opłat jest konieczna.</w:t>
      </w: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8B266C" w:rsidRPr="00AB7B13" w:rsidRDefault="008B266C" w:rsidP="008B266C">
      <w:pPr>
        <w:jc w:val="both"/>
        <w:rPr>
          <w:rFonts w:ascii="Calibri" w:hAnsi="Calibri" w:cs="Calibri"/>
          <w:sz w:val="24"/>
          <w:szCs w:val="24"/>
        </w:rPr>
      </w:pPr>
    </w:p>
    <w:p w:rsidR="006B0A92" w:rsidRDefault="006B0A92"/>
    <w:sectPr w:rsidR="006B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6C"/>
    <w:rsid w:val="006B0A92"/>
    <w:rsid w:val="0080581A"/>
    <w:rsid w:val="008B266C"/>
    <w:rsid w:val="00A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BDAF"/>
  <w15:chartTrackingRefBased/>
  <w15:docId w15:val="{FF0B30E6-1955-4964-8FE8-4F789F4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266C"/>
  </w:style>
  <w:style w:type="table" w:styleId="Tabela-Siatka">
    <w:name w:val="Table Grid"/>
    <w:basedOn w:val="Standardowy"/>
    <w:uiPriority w:val="39"/>
    <w:rsid w:val="008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cp:lastPrinted>2023-03-30T05:37:00Z</cp:lastPrinted>
  <dcterms:created xsi:type="dcterms:W3CDTF">2023-03-30T13:35:00Z</dcterms:created>
  <dcterms:modified xsi:type="dcterms:W3CDTF">2023-03-30T13:35:00Z</dcterms:modified>
</cp:coreProperties>
</file>