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2D8">
        <w:rPr>
          <w:rFonts w:ascii="Times New Roman" w:hAnsi="Times New Roman" w:cs="Times New Roman"/>
          <w:b/>
          <w:bCs/>
          <w:sz w:val="24"/>
          <w:szCs w:val="24"/>
        </w:rPr>
        <w:t>Uchwała Nr ……………….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2D8">
        <w:rPr>
          <w:rFonts w:ascii="Times New Roman" w:hAnsi="Times New Roman" w:cs="Times New Roman"/>
          <w:b/>
          <w:bCs/>
          <w:sz w:val="24"/>
          <w:szCs w:val="24"/>
        </w:rPr>
        <w:t>z dnia 16 stycznia 2024 r.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2024 – 2038.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72D8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C972D8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C972D8">
        <w:rPr>
          <w:rFonts w:ascii="Times New Roman" w:hAnsi="Times New Roman" w:cs="Times New Roman"/>
          <w:i/>
          <w:iCs/>
          <w:sz w:val="24"/>
          <w:szCs w:val="24"/>
        </w:rPr>
        <w:t xml:space="preserve">. Dz. U. z 2023r. poz. 40 z </w:t>
      </w:r>
      <w:proofErr w:type="spellStart"/>
      <w:r w:rsidRPr="00C972D8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C972D8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226, art. 227, art. 228, art. 229, art. 231,  art. 232  ustawy z dnia 27 sierpnia 2009 roku o finansach publicznych (t. j. Dz. U.  z 2023r. poz. 1270z </w:t>
      </w:r>
      <w:proofErr w:type="spellStart"/>
      <w:r w:rsidRPr="00C972D8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C972D8">
        <w:rPr>
          <w:rFonts w:ascii="Times New Roman" w:hAnsi="Times New Roman" w:cs="Times New Roman"/>
          <w:i/>
          <w:iCs/>
          <w:sz w:val="24"/>
          <w:szCs w:val="24"/>
        </w:rPr>
        <w:t>. zm.) oraz uchwały Nr LVI/397/23 z dnia 28 grudnia 2023r. Rady Gminy w Brudzeniu Dużym w sprawie przyjęcia wieloletniej prognozy finansowej Gminy Brudzeń Duży na lata 2024-2033</w:t>
      </w:r>
    </w:p>
    <w:p w:rsidR="00C972D8" w:rsidRPr="00C972D8" w:rsidRDefault="00C972D8" w:rsidP="00C972D8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2D8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C972D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C972D8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>Zmianie ulega załącznik Nr 1 do Uchwały Nr LVI/397/23 Rady Gminy w Brudzeniu Dużym z dnia 28.12.2023r. pn. „Wieloletnia Prognoza Finansowa”, która otrzymuje brzmienie jak załącznik Nr 1 do niniejszej Uchwały oraz zmianie ulega załącznik Nr 2 do Uchwały Nr LVI/397/23 Rady Gminy w Brudzeniu Dużym z dnia 28.12.2023r. pn. „Wykaz przedsięwzięć do WPF”, który otrzymuje brzmienie jak załącznik Nr 2 do niniejszej Uchwały.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C972D8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C972D8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C972D8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C972D8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C972D8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C972D8" w:rsidRPr="00C972D8" w:rsidRDefault="00C972D8" w:rsidP="00C972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1F5E22" w:rsidRDefault="001F5E22"/>
    <w:p w:rsidR="00C972D8" w:rsidRDefault="00C972D8"/>
    <w:p w:rsidR="00C972D8" w:rsidRDefault="00C972D8"/>
    <w:p w:rsidR="00C972D8" w:rsidRDefault="00C972D8"/>
    <w:p w:rsidR="00C972D8" w:rsidRPr="00C972D8" w:rsidRDefault="00C972D8">
      <w:pPr>
        <w:rPr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>W Wieloletniej Prognozie Finansowej urealniono załącznik Nr 1 do Uchwały Nr LVI/397/23 Rady Gminy w Brudzeniu Dużym z dnia 28 grudnia 2023 r. pn. "Wieloletnia Prognoza Finansowa" oraz załącznik Nr 2 do uchwały Nr LVI/397/23 Rady Gminy w Brudzeniu Dużym z dnia 28 grudnia 2023 r. pn. „Wykaz przedsięwzięć do WPF”.</w:t>
      </w:r>
    </w:p>
    <w:p w:rsidR="00C972D8" w:rsidRPr="00C972D8" w:rsidRDefault="00C972D8" w:rsidP="00C972D8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972D8" w:rsidRPr="00C972D8" w:rsidRDefault="00C972D8" w:rsidP="00C972D8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72D8" w:rsidRPr="00C972D8" w:rsidRDefault="00C972D8" w:rsidP="00C972D8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2D8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 xml:space="preserve">Wydatki objęte limitem, o którym mowa w art. 226 ust. 3 pkt 4 ustawy w tym majątkowe w roku 2023 zmniejszono o kwotę </w:t>
      </w:r>
      <w:r w:rsidRPr="00C972D8">
        <w:rPr>
          <w:rFonts w:ascii="Times New Roman" w:hAnsi="Times New Roman" w:cs="Times New Roman"/>
          <w:b/>
          <w:bCs/>
          <w:sz w:val="24"/>
          <w:szCs w:val="24"/>
        </w:rPr>
        <w:t>450 000,00 zł</w:t>
      </w:r>
      <w:r w:rsidRPr="00C972D8">
        <w:rPr>
          <w:rFonts w:ascii="Times New Roman" w:hAnsi="Times New Roman" w:cs="Times New Roman"/>
          <w:sz w:val="24"/>
          <w:szCs w:val="24"/>
        </w:rPr>
        <w:t xml:space="preserve"> w związku z realizacją zadania wieloletniego pn. „Poprawa infrastruktury drogowej na terenie Gminy Brudzeń Duży etap II (Siecień, Murzynowo, Turza Mała, Bądkowo Kościelne ul. Jana Pawła II, </w:t>
      </w:r>
      <w:proofErr w:type="spellStart"/>
      <w:r w:rsidRPr="00C972D8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 w:rsidRPr="00C972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2D8">
        <w:rPr>
          <w:rFonts w:ascii="Times New Roman" w:hAnsi="Times New Roman" w:cs="Times New Roman"/>
          <w:sz w:val="24"/>
          <w:szCs w:val="24"/>
        </w:rPr>
        <w:t>Sobowo</w:t>
      </w:r>
      <w:proofErr w:type="spellEnd"/>
      <w:r w:rsidRPr="00C972D8">
        <w:rPr>
          <w:rFonts w:ascii="Times New Roman" w:hAnsi="Times New Roman" w:cs="Times New Roman"/>
          <w:sz w:val="24"/>
          <w:szCs w:val="24"/>
        </w:rPr>
        <w:t xml:space="preserve">, Parzeń, Brudzeń Duży ul. Klonowa, Brzozowa, Akacjowa, Karwosieki- Noskowice, Bądkowo Podlasie)” Wydatki majątkowe na to zadanie w 2024 roku wynoszą </w:t>
      </w:r>
      <w:r w:rsidRPr="00C972D8">
        <w:rPr>
          <w:rFonts w:ascii="Times New Roman" w:hAnsi="Times New Roman" w:cs="Times New Roman"/>
          <w:b/>
          <w:bCs/>
          <w:sz w:val="24"/>
          <w:szCs w:val="24"/>
        </w:rPr>
        <w:t xml:space="preserve">250 000,00 zł. </w:t>
      </w:r>
    </w:p>
    <w:p w:rsidR="00C972D8" w:rsidRPr="00C972D8" w:rsidRDefault="00C972D8" w:rsidP="00C972D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972D8" w:rsidRPr="00C972D8" w:rsidRDefault="00C972D8" w:rsidP="00C972D8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2D8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C972D8" w:rsidRPr="00C972D8" w:rsidRDefault="00C972D8" w:rsidP="00C97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D8">
        <w:rPr>
          <w:rFonts w:ascii="Times New Roman" w:hAnsi="Times New Roman" w:cs="Times New Roman"/>
          <w:sz w:val="24"/>
          <w:szCs w:val="24"/>
        </w:rPr>
        <w:tab/>
        <w:t xml:space="preserve">Dokonuje się zmiany w 2024 roku związku poprawą limitu na zadaniu pn. „Poprawa infrastruktury drogowej na terenie Gminy Brudzeń Duży etap II (Siecień, Murzynowo, Turza Mała, Bądkowo Kościelne ul. Jana Pawła II, </w:t>
      </w:r>
      <w:proofErr w:type="spellStart"/>
      <w:r w:rsidRPr="00C972D8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 w:rsidRPr="00C972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2D8">
        <w:rPr>
          <w:rFonts w:ascii="Times New Roman" w:hAnsi="Times New Roman" w:cs="Times New Roman"/>
          <w:sz w:val="24"/>
          <w:szCs w:val="24"/>
        </w:rPr>
        <w:t>Sobowo</w:t>
      </w:r>
      <w:proofErr w:type="spellEnd"/>
      <w:r w:rsidRPr="00C972D8">
        <w:rPr>
          <w:rFonts w:ascii="Times New Roman" w:hAnsi="Times New Roman" w:cs="Times New Roman"/>
          <w:sz w:val="24"/>
          <w:szCs w:val="24"/>
        </w:rPr>
        <w:t>, Parzeń, Brudzeń Duży ul. Klonowa, Brzozowa, Akacjowa, Karwosieki- Noskowice, Bądkowo Podlasie)”.</w:t>
      </w:r>
    </w:p>
    <w:p w:rsidR="00C972D8" w:rsidRPr="00C972D8" w:rsidRDefault="00C972D8" w:rsidP="00C972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72D8" w:rsidRDefault="00C972D8"/>
    <w:sectPr w:rsidR="00C972D8" w:rsidSect="0057354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8"/>
    <w:rsid w:val="001F5E22"/>
    <w:rsid w:val="00C9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1</cp:revision>
  <dcterms:created xsi:type="dcterms:W3CDTF">2024-01-12T08:48:00Z</dcterms:created>
  <dcterms:modified xsi:type="dcterms:W3CDTF">2024-01-12T08:51:00Z</dcterms:modified>
</cp:coreProperties>
</file>